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565" w14:textId="77777777" w:rsidR="00A135FA" w:rsidRPr="00A135FA" w:rsidRDefault="00A135FA" w:rsidP="00A135FA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03092" wp14:editId="34A40557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9050" t="1905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7E1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6DAC35" wp14:editId="7174194F">
            <wp:extent cx="1257300" cy="465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>
        <w:rPr>
          <w:rFonts w:ascii="Arial" w:hAnsi="Arial" w:cs="Arial"/>
          <w:color w:val="001740"/>
          <w:sz w:val="32"/>
          <w:szCs w:val="32"/>
          <w:lang w:val="en-GB"/>
        </w:rPr>
        <w:t>TOPSILENCE DESIGN</w:t>
      </w:r>
    </w:p>
    <w:p w14:paraId="4D0EDAFB" w14:textId="77777777" w:rsidR="00A135FA" w:rsidRDefault="00A135FA" w:rsidP="00AE10B5">
      <w:pPr>
        <w:jc w:val="both"/>
        <w:rPr>
          <w:b/>
          <w:lang w:val="en-US"/>
        </w:rPr>
      </w:pPr>
    </w:p>
    <w:p w14:paraId="4DF3C07A" w14:textId="77777777" w:rsidR="00A135FA" w:rsidRDefault="00A135FA" w:rsidP="00AE10B5">
      <w:pPr>
        <w:jc w:val="both"/>
        <w:rPr>
          <w:b/>
          <w:lang w:val="en-US"/>
        </w:rPr>
      </w:pPr>
    </w:p>
    <w:p w14:paraId="44D68CB4" w14:textId="77777777" w:rsidR="008C5830" w:rsidRPr="00A45440" w:rsidRDefault="008C5830" w:rsidP="008C5830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r w:rsidRPr="00A45440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es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solución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revestimiento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suelo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decorativo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basada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estructura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vinilo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y HDF, disponible en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losetas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y planchas, con bordes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biselados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. Se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compone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capa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desgaste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película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diseño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capa de PVC para un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mayor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confort al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caminar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un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tablero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HDF de 6,8 mm para la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estabilidad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y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capa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inferior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corcho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1,2 mm que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permite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un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aislamiento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acústico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hasta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16 dB.  El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grosor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total es de 9,5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mm.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</w:p>
    <w:p w14:paraId="75E0A7F5" w14:textId="77777777" w:rsidR="008C5830" w:rsidRPr="00A45440" w:rsidRDefault="008C5830" w:rsidP="008C5830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Se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benefician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gram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de un</w:t>
      </w:r>
      <w:proofErr w:type="gram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tratamiento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superficie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poliuretano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reticulado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(PUR+ MATT), que facilita el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mantenimiento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y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elimina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la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necesidad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pulidos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iniciales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.</w:t>
      </w:r>
    </w:p>
    <w:p w14:paraId="469868A6" w14:textId="77777777" w:rsidR="008C5830" w:rsidRPr="00A45440" w:rsidRDefault="008C5830" w:rsidP="008C5830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</w:p>
    <w:p w14:paraId="5FF391E1" w14:textId="77777777" w:rsidR="008C5830" w:rsidRPr="00A45440" w:rsidRDefault="008C5830" w:rsidP="008C5830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r w:rsidRPr="00A45440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es un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revestimiento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suelo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encajable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montado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con un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sistema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enclavamiento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,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resistente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al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uso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(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uso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residencial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/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comercial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) de 23 / 32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según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la norma EN-ISO 16511 y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tiene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la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clase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Bfl-s1 para la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emisión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humos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según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la norma EN 13501-1.</w:t>
      </w:r>
    </w:p>
    <w:p w14:paraId="1E303BF5" w14:textId="77777777" w:rsidR="008C5830" w:rsidRPr="00A45440" w:rsidRDefault="008C5830" w:rsidP="008C5830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</w:p>
    <w:p w14:paraId="44B6C411" w14:textId="3B78E9F7" w:rsidR="00703254" w:rsidRPr="00A45440" w:rsidRDefault="008C5830" w:rsidP="008C5830">
      <w:pPr>
        <w:jc w:val="both"/>
        <w:rPr>
          <w:rFonts w:ascii="Arial" w:eastAsia="Times New Roman" w:hAnsi="Arial" w:cs="Arial"/>
          <w:color w:val="001740"/>
          <w:sz w:val="24"/>
          <w:szCs w:val="24"/>
          <w:lang w:eastAsia="fr-FR"/>
        </w:rPr>
      </w:pPr>
      <w:r w:rsidRPr="00A45440">
        <w:rPr>
          <w:rFonts w:ascii="Arial" w:eastAsia="Times New Roman" w:hAnsi="Arial" w:cs="Arial"/>
          <w:b/>
          <w:bCs/>
          <w:color w:val="001740"/>
          <w:sz w:val="24"/>
          <w:szCs w:val="24"/>
          <w:lang w:val="en-GB" w:eastAsia="fr-FR"/>
        </w:rPr>
        <w:t>TOPSILENCE DESIGN</w:t>
      </w:r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 xml:space="preserve"> no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>contiene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>ftalatos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 xml:space="preserve">,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>excepto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>contenido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>reciclado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val="en-GB" w:eastAsia="fr-FR"/>
        </w:rPr>
        <w:t xml:space="preserve">.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Cumple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la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normativa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REACH. La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tasa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emisión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de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compuestos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orgánicos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del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producto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es &lt; 100µg/m3 (TVOC &lt;28 </w:t>
      </w:r>
      <w:proofErr w:type="spellStart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>días</w:t>
      </w:r>
      <w:proofErr w:type="spellEnd"/>
      <w:r w:rsidRPr="00A45440">
        <w:rPr>
          <w:rFonts w:ascii="Arial" w:eastAsia="Times New Roman" w:hAnsi="Arial" w:cs="Arial"/>
          <w:color w:val="001740"/>
          <w:sz w:val="24"/>
          <w:szCs w:val="24"/>
          <w:lang w:eastAsia="fr-FR"/>
        </w:rPr>
        <w:t xml:space="preserve"> - ISO 16000-6).</w:t>
      </w:r>
    </w:p>
    <w:sectPr w:rsidR="00703254" w:rsidRPr="00A4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5"/>
    <w:rsid w:val="006562D7"/>
    <w:rsid w:val="00703254"/>
    <w:rsid w:val="008C5830"/>
    <w:rsid w:val="00A135FA"/>
    <w:rsid w:val="00A4432F"/>
    <w:rsid w:val="00A45440"/>
    <w:rsid w:val="00A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FCA8"/>
  <w15:chartTrackingRefBased/>
  <w15:docId w15:val="{6581522D-8271-44F7-9948-AC48192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ZONFRILLO Nina</dc:creator>
  <cp:keywords/>
  <dc:description/>
  <cp:lastModifiedBy>GZOUR Hajar</cp:lastModifiedBy>
  <cp:revision>6</cp:revision>
  <dcterms:created xsi:type="dcterms:W3CDTF">2018-10-22T06:30:00Z</dcterms:created>
  <dcterms:modified xsi:type="dcterms:W3CDTF">2023-09-21T15:49:00Z</dcterms:modified>
</cp:coreProperties>
</file>